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51974959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5888112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0624520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292,85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Ialomița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7722059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5071784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292,85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70"/>
        <w:gridCol w:w="4530"/>
        <w:tblGridChange w:id="0">
          <w:tblGrid>
            <w:gridCol w:w="4470"/>
            <w:gridCol w:w="45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1314 Myotis daubentonii</w:t>
              <w:br w:type="textWrapping"/>
              <w:t xml:space="preserve">1312 Nyctalus noctula</w:t>
              <w:br w:type="textWrapping"/>
              <w:t xml:space="preserve">2016 Pipistrellus kuhlii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br w:type="textWrapping"/>
              <w:t xml:space="preserve">A089 Aquila pomarina</w:t>
              <w:br w:type="textWrapping"/>
              <w:t xml:space="preserve">A231 Coracias garrulus</w:t>
              <w:br w:type="textWrapping"/>
              <w:t xml:space="preserve">A238 Dendrocopos medius</w:t>
              <w:br w:type="textWrapping"/>
              <w:t xml:space="preserve">A339 Lanius minor</w:t>
              <w:br w:type="textWrapping"/>
              <w:t xml:space="preserve">A246 Lullula arborea</w:t>
              <w:br w:type="textWrapping"/>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3">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sz w:val="22"/>
                <w:szCs w:val="22"/>
                <w:rtl w:val="0"/>
              </w:rPr>
              <w:t xml:space="preserve">4. Prevenirea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sz w:val="22"/>
                <w:szCs w:val="22"/>
                <w:rtl w:val="0"/>
              </w:rPr>
              <w:t xml:space="preserve">Obiective specific</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sz w:val="22"/>
                <w:szCs w:val="22"/>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sz w:val="22"/>
                <w:szCs w:val="22"/>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sz w:val="22"/>
                <w:szCs w:val="22"/>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sz w:val="22"/>
                <w:szCs w:val="22"/>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sz w:val="22"/>
                <w:szCs w:val="22"/>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sz w:val="22"/>
                <w:szCs w:val="22"/>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sz w:val="22"/>
                <w:szCs w:val="22"/>
                <w:rtl w:val="0"/>
              </w:rPr>
              <w:t xml:space="preserve">Măsuri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b w:val="1"/>
          <w:bCs w:val="1"/>
          <w:sz w:val="22"/>
          <w:szCs w:val="22"/>
        </w:rPr>
      </w:pPr>
      <w:r w:rsidDel="00000000" w:rsidR="00000000" w:rsidRPr="00000000">
        <w:rPr>
          <w:rtl w:val="0"/>
        </w:rPr>
      </w:r>
    </w:p>
    <w:p w:rsidR="00000000" w:rsidDel="00000000" w:rsidP="00000000" w:rsidRDefault="00000000" w:rsidRPr="00000000" w14:paraId="000000B9">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B">
      <w:pPr>
        <w:jc w:val="center"/>
        <w:rPr>
          <w:b w:val="1"/>
          <w:bCs w:val="1"/>
          <w:sz w:val="22"/>
          <w:szCs w:val="22"/>
        </w:rPr>
      </w:pPr>
      <w:r w:rsidDel="00000000" w:rsidR="00000000" w:rsidRPr="00000000">
        <w:rPr>
          <w:rtl w:val="0"/>
        </w:rPr>
      </w:r>
    </w:p>
    <w:p w:rsidR="00000000" w:rsidDel="00000000" w:rsidP="00000000" w:rsidRDefault="00000000" w:rsidRPr="00000000" w14:paraId="000000B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25 noiembrie 2024 – Slobozia, jud. Iași; 23 mai 2025 – corespondență DS Ialomița. </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29 ianuarie 2026 cu participarea factorilor interesați relevanți din județul Ialomița.</w:t>
      </w:r>
    </w:p>
    <w:p w:rsidR="00000000" w:rsidDel="00000000" w:rsidP="00000000" w:rsidRDefault="00000000" w:rsidRPr="00000000" w14:paraId="000000C2">
      <w:pPr>
        <w:rPr>
          <w:b w:val="1"/>
          <w:bCs w:val="1"/>
          <w:sz w:val="22"/>
          <w:szCs w:val="22"/>
        </w:rPr>
      </w:pPr>
      <w:r w:rsidDel="00000000" w:rsidR="00000000" w:rsidRPr="00000000">
        <w:rPr>
          <w:rtl w:val="0"/>
        </w:rPr>
      </w:r>
    </w:p>
    <w:p w:rsidR="00000000" w:rsidDel="00000000" w:rsidP="00000000" w:rsidRDefault="00000000" w:rsidRPr="00000000" w14:paraId="000000C3">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9bH5+ErAuWL2tj5eUCTxs70rj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ma0k1MS0zTF81ODltdFN2UG5BZEkySmM1TlpYNTV5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